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C3F16" w14:textId="77777777" w:rsidR="005623C7" w:rsidRDefault="00F96F0C">
      <w:pPr>
        <w:rPr>
          <w:rFonts w:asciiTheme="majorBidi" w:hAnsiTheme="majorBidi" w:cstheme="majorBidi"/>
          <w:color w:val="000000"/>
        </w:rPr>
      </w:pPr>
      <w:bookmarkStart w:id="0" w:name="_GoBack"/>
      <w:bookmarkEnd w:id="0"/>
      <w:r>
        <w:rPr>
          <w:rFonts w:asciiTheme="majorBidi" w:hAnsiTheme="majorBidi" w:cstheme="majorBidi"/>
          <w:color w:val="000000"/>
        </w:rPr>
        <w:t>Béatrice Gisclard</w:t>
      </w:r>
    </w:p>
    <w:p w14:paraId="762D03A8" w14:textId="77777777" w:rsidR="00F96F0C" w:rsidRPr="00F96F0C" w:rsidRDefault="00F96F0C">
      <w:pPr>
        <w:rPr>
          <w:rFonts w:asciiTheme="majorBidi" w:hAnsiTheme="majorBidi" w:cstheme="majorBidi"/>
          <w:i/>
          <w:iCs/>
          <w:color w:val="000000"/>
        </w:rPr>
      </w:pPr>
      <w:r w:rsidRPr="00F96F0C">
        <w:rPr>
          <w:rFonts w:asciiTheme="majorBidi" w:hAnsiTheme="majorBidi" w:cstheme="majorBidi"/>
          <w:i/>
          <w:iCs/>
          <w:color w:val="000000"/>
        </w:rPr>
        <w:t>Les processus d’innovation sociale comme facteurs de réduction de la vulnérabilité au risque inondation dans les territoires ruraux. Le cas des crues rapides dans le Gard et le Vaucluse.</w:t>
      </w:r>
    </w:p>
    <w:p w14:paraId="37F24DFA" w14:textId="77777777" w:rsidR="00F96F0C" w:rsidRDefault="00F96F0C" w:rsidP="00F96F0C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Thèse de doctorat en géographie, </w:t>
      </w:r>
      <w:r w:rsidRPr="00F96F0C">
        <w:rPr>
          <w:rFonts w:asciiTheme="majorBidi" w:hAnsiTheme="majorBidi" w:cstheme="majorBidi"/>
          <w:color w:val="000000"/>
        </w:rPr>
        <w:t>Université d’Avignon et des Pays de Vaucluse</w:t>
      </w:r>
      <w:r>
        <w:rPr>
          <w:rFonts w:asciiTheme="majorBidi" w:hAnsiTheme="majorBidi" w:cstheme="majorBidi"/>
          <w:color w:val="000000"/>
        </w:rPr>
        <w:t>, en co-habilitation avec l’Université de Nîmes.</w:t>
      </w:r>
    </w:p>
    <w:p w14:paraId="65A632BB" w14:textId="77777777" w:rsidR="00F96F0C" w:rsidRDefault="00F96F0C" w:rsidP="00F96F0C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2014-2017.</w:t>
      </w:r>
    </w:p>
    <w:p w14:paraId="33F511A4" w14:textId="77777777" w:rsidR="00F96F0C" w:rsidRDefault="00F96F0C" w:rsidP="00F96F0C">
      <w:pPr>
        <w:rPr>
          <w:rFonts w:asciiTheme="majorBidi" w:hAnsiTheme="majorBidi" w:cstheme="majorBidi"/>
          <w:color w:val="000000"/>
        </w:rPr>
      </w:pPr>
    </w:p>
    <w:p w14:paraId="5BB29505" w14:textId="77777777" w:rsidR="00F96F0C" w:rsidRPr="00A73640" w:rsidRDefault="00F96F0C" w:rsidP="00F96F0C">
      <w:pPr>
        <w:rPr>
          <w:rFonts w:asciiTheme="majorBidi" w:hAnsiTheme="majorBidi" w:cstheme="majorBidi"/>
          <w:color w:val="000000"/>
          <w:u w:val="single"/>
        </w:rPr>
      </w:pPr>
      <w:r w:rsidRPr="00A73640">
        <w:rPr>
          <w:rFonts w:asciiTheme="majorBidi" w:hAnsiTheme="majorBidi" w:cstheme="majorBidi"/>
          <w:color w:val="000000"/>
          <w:u w:val="single"/>
        </w:rPr>
        <w:t>Résumé :</w:t>
      </w:r>
    </w:p>
    <w:p w14:paraId="15FDB443" w14:textId="08E23EA5" w:rsidR="004355F6" w:rsidRPr="007F57FA" w:rsidRDefault="00F07CB8" w:rsidP="00EA5EB1">
      <w:pPr>
        <w:pStyle w:val="NormaleWeb1"/>
        <w:spacing w:before="0" w:after="0"/>
        <w:jc w:val="both"/>
        <w:rPr>
          <w:rFonts w:asciiTheme="majorBidi" w:eastAsia="Helvetica" w:hAnsiTheme="majorBidi" w:cstheme="majorBidi"/>
          <w:color w:val="000000"/>
          <w:sz w:val="22"/>
          <w:szCs w:val="22"/>
        </w:rPr>
      </w:pPr>
      <w:r w:rsidRPr="004A738B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Parmi les catastrophes naturelles, l'inondation est celle qui génère le plus de dégâts dans le monde : 2,5 milliards de personnes impactées entre 1994 et 2013 (EM-DAT, 2015). En France c'est également le risque le plus fréquent et le plus dommageable (plus de 19 000 communes concernées ; CEPRI, 2013). Parmi les types d'inondation, les crues rapides sont des aléas </w:t>
      </w:r>
      <w:r w:rsidR="00DB2C3E">
        <w:rPr>
          <w:rFonts w:asciiTheme="majorBidi" w:eastAsia="Helvetica" w:hAnsiTheme="majorBidi" w:cstheme="majorBidi"/>
          <w:color w:val="000000"/>
          <w:sz w:val="22"/>
          <w:szCs w:val="22"/>
        </w:rPr>
        <w:t>dont les</w:t>
      </w:r>
      <w:r w:rsidRPr="004A738B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caractéristiques hydro-géomorphologiques </w:t>
      </w:r>
      <w:r w:rsidR="004701E0">
        <w:rPr>
          <w:rFonts w:asciiTheme="majorBidi" w:eastAsia="Helvetica" w:hAnsiTheme="majorBidi" w:cstheme="majorBidi"/>
          <w:color w:val="000000"/>
          <w:sz w:val="22"/>
          <w:szCs w:val="22"/>
        </w:rPr>
        <w:t>les rendent</w:t>
      </w:r>
      <w:r w:rsidRPr="004A738B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difficilement prévisibles et des victimes sont régulièrement à déplorer. </w:t>
      </w:r>
      <w:r w:rsidR="006248CF">
        <w:rPr>
          <w:rFonts w:asciiTheme="majorBidi" w:eastAsia="Helvetica" w:hAnsiTheme="majorBidi" w:cstheme="majorBidi"/>
          <w:color w:val="000000"/>
          <w:sz w:val="22"/>
          <w:szCs w:val="22"/>
        </w:rPr>
        <w:t>Dans ce contexte, les</w:t>
      </w:r>
      <w:r w:rsidR="00B464A2" w:rsidRPr="00B464A2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</w:t>
      </w:r>
      <w:r w:rsidR="006248CF">
        <w:rPr>
          <w:rFonts w:asciiTheme="majorBidi" w:eastAsia="Helvetica" w:hAnsiTheme="majorBidi" w:cstheme="majorBidi"/>
          <w:color w:val="000000"/>
          <w:sz w:val="22"/>
          <w:szCs w:val="22"/>
        </w:rPr>
        <w:t>communes</w:t>
      </w:r>
      <w:r w:rsidR="00B464A2" w:rsidRPr="00B464A2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</w:t>
      </w:r>
      <w:r w:rsidR="006248CF">
        <w:rPr>
          <w:rFonts w:asciiTheme="majorBidi" w:eastAsia="Helvetica" w:hAnsiTheme="majorBidi" w:cstheme="majorBidi"/>
          <w:color w:val="000000"/>
          <w:sz w:val="22"/>
          <w:szCs w:val="22"/>
        </w:rPr>
        <w:t>rurales</w:t>
      </w:r>
      <w:r w:rsidR="00B464A2" w:rsidRPr="00B464A2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</w:t>
      </w:r>
      <w:r w:rsidR="00C52232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constituent </w:t>
      </w:r>
      <w:r w:rsidR="006248CF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tout </w:t>
      </w:r>
      <w:r w:rsidR="00157086">
        <w:rPr>
          <w:rFonts w:asciiTheme="majorBidi" w:eastAsia="Helvetica" w:hAnsiTheme="majorBidi" w:cstheme="majorBidi"/>
          <w:color w:val="000000"/>
          <w:sz w:val="22"/>
          <w:szCs w:val="22"/>
        </w:rPr>
        <w:t>à la fois des territoires vulnérables</w:t>
      </w:r>
      <w:r w:rsidR="006248CF">
        <w:rPr>
          <w:rFonts w:asciiTheme="majorBidi" w:eastAsia="Helvetica" w:hAnsiTheme="majorBidi" w:cstheme="majorBidi"/>
          <w:color w:val="000000"/>
          <w:sz w:val="22"/>
          <w:szCs w:val="22"/>
        </w:rPr>
        <w:t>,</w:t>
      </w:r>
      <w:r w:rsidR="00157086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mais </w:t>
      </w:r>
      <w:r w:rsidR="00551BB3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également </w:t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un terreau propice à une approche de la question des risques naturels par l’innovation sociale. </w:t>
      </w:r>
      <w:r w:rsidRPr="004A738B">
        <w:rPr>
          <w:rFonts w:asciiTheme="majorBidi" w:eastAsia="Helvetica" w:hAnsiTheme="majorBidi" w:cstheme="majorBidi"/>
          <w:color w:val="000000"/>
          <w:sz w:val="22"/>
          <w:szCs w:val="22"/>
        </w:rPr>
        <w:t>Cette recherche s'appuie sur les champs de la géographie des risques, de la psychologie environnementale et du design social</w:t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afin d’aborder le processus complexe de l’inondation à travers le prisme de l’interdisciplinarité</w:t>
      </w:r>
      <w:r w:rsidRPr="004A738B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. </w:t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Déplaçant la focale d’une </w:t>
      </w:r>
      <w:r w:rsidR="009A1090">
        <w:rPr>
          <w:rFonts w:asciiTheme="majorBidi" w:eastAsia="Helvetica" w:hAnsiTheme="majorBidi" w:cstheme="majorBidi"/>
          <w:color w:val="000000"/>
          <w:sz w:val="22"/>
          <w:szCs w:val="22"/>
        </w:rPr>
        <w:t>vision</w:t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aléa-centrée à une approche anthro</w:t>
      </w:r>
      <w:r w:rsidR="009A1090">
        <w:rPr>
          <w:rFonts w:asciiTheme="majorBidi" w:eastAsia="Helvetica" w:hAnsiTheme="majorBidi" w:cstheme="majorBidi"/>
          <w:color w:val="000000"/>
          <w:sz w:val="22"/>
          <w:szCs w:val="22"/>
        </w:rPr>
        <w:t>po-</w:t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>centrée, nous questionnons la place et le rôle de l’individu dont la loi de 2004 l’a positionné comme premier acteur</w:t>
      </w:r>
      <w:r w:rsidR="007F57FA">
        <w:rPr>
          <w:rStyle w:val="Appeldenotedefin"/>
          <w:rFonts w:asciiTheme="majorBidi" w:eastAsia="Helvetica" w:hAnsiTheme="majorBidi" w:cstheme="majorBidi"/>
          <w:color w:val="000000"/>
          <w:sz w:val="22"/>
          <w:szCs w:val="22"/>
        </w:rPr>
        <w:endnoteReference w:id="1"/>
      </w:r>
      <w:r w:rsidR="00D73EC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de sa sécurité</w:t>
      </w:r>
      <w:r w:rsidR="007F57FA">
        <w:rPr>
          <w:rStyle w:val="Appeldenotedefin"/>
          <w:rFonts w:asciiTheme="majorBidi" w:eastAsia="Helvetica" w:hAnsiTheme="majorBidi" w:cstheme="majorBidi"/>
          <w:color w:val="000000"/>
          <w:sz w:val="22"/>
          <w:szCs w:val="22"/>
        </w:rPr>
        <w:endnoteReference w:id="2"/>
      </w:r>
      <w:r w:rsidR="00C46B39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. </w:t>
      </w:r>
      <w:r w:rsidR="009A1090">
        <w:rPr>
          <w:rFonts w:asciiTheme="majorBidi" w:eastAsia="Helvetica" w:hAnsiTheme="majorBidi" w:cstheme="majorBidi"/>
          <w:color w:val="000000"/>
          <w:sz w:val="22"/>
          <w:szCs w:val="22"/>
        </w:rPr>
        <w:t>À travers une méthodologi</w:t>
      </w:r>
      <w:r w:rsidR="002959AD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e </w:t>
      </w:r>
      <w:r w:rsidR="009A109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hybride – qualitative et quantitative – inspirée de la </w:t>
      </w:r>
      <w:r w:rsidR="009A1090">
        <w:rPr>
          <w:rFonts w:asciiTheme="majorBidi" w:eastAsia="Helvetica" w:hAnsiTheme="majorBidi" w:cstheme="majorBidi"/>
          <w:i/>
          <w:iCs/>
          <w:color w:val="000000"/>
          <w:sz w:val="22"/>
          <w:szCs w:val="22"/>
        </w:rPr>
        <w:t>grounded theory</w:t>
      </w:r>
      <w:r w:rsidR="009A109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(</w:t>
      </w:r>
      <w:r w:rsidR="004355F6">
        <w:rPr>
          <w:rFonts w:asciiTheme="majorBidi" w:eastAsia="Helvetica" w:hAnsiTheme="majorBidi" w:cstheme="majorBidi"/>
          <w:color w:val="000000"/>
          <w:sz w:val="22"/>
          <w:szCs w:val="22"/>
        </w:rPr>
        <w:t>Strauss &amp; Corbin, 1994),</w:t>
      </w:r>
      <w:r w:rsidR="00CB5786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l’analyse a fait ressortir les éléments </w:t>
      </w:r>
      <w:r w:rsidR="004355F6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clés </w:t>
      </w:r>
      <w:r w:rsidR="00CB5786">
        <w:rPr>
          <w:rFonts w:asciiTheme="majorBidi" w:eastAsia="Helvetica" w:hAnsiTheme="majorBidi" w:cstheme="majorBidi"/>
          <w:color w:val="000000"/>
          <w:sz w:val="22"/>
          <w:szCs w:val="22"/>
        </w:rPr>
        <w:t>suivants :</w:t>
      </w:r>
      <w:r w:rsidR="00CB5786" w:rsidRPr="00CB578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le 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« 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>citoyen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 »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est la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figure abstraite des politiques de gestion du risque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 xml:space="preserve"> empêchant l’opérationnalisation des comportements. L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'alerte 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est le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point de bascule 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entre des prérogative</w:t>
      </w:r>
      <w:r w:rsidR="004355F6">
        <w:rPr>
          <w:rFonts w:asciiTheme="majorBidi" w:hAnsiTheme="majorBidi" w:cstheme="majorBidi"/>
          <w:color w:val="000000"/>
          <w:sz w:val="22"/>
          <w:szCs w:val="22"/>
        </w:rPr>
        <w:t>s ministérielles différentes – prévention et gestion de crise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 xml:space="preserve"> – et constitue la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zone </w:t>
      </w:r>
      <w:r w:rsidR="004355F6">
        <w:rPr>
          <w:rFonts w:asciiTheme="majorBidi" w:hAnsiTheme="majorBidi" w:cstheme="majorBidi"/>
          <w:color w:val="000000"/>
          <w:sz w:val="22"/>
          <w:szCs w:val="22"/>
        </w:rPr>
        <w:t>d’incertitude majeure</w:t>
      </w:r>
      <w:r w:rsidR="00297607">
        <w:rPr>
          <w:rFonts w:asciiTheme="majorBidi" w:hAnsiTheme="majorBidi" w:cstheme="majorBidi"/>
          <w:color w:val="000000"/>
          <w:sz w:val="22"/>
          <w:szCs w:val="22"/>
        </w:rPr>
        <w:t xml:space="preserve">. Elle relève en effet </w:t>
      </w:r>
      <w:r w:rsidR="00CB5786">
        <w:rPr>
          <w:rFonts w:asciiTheme="majorBidi" w:hAnsiTheme="majorBidi" w:cstheme="majorBidi"/>
          <w:color w:val="000000"/>
          <w:sz w:val="22"/>
          <w:szCs w:val="22"/>
        </w:rPr>
        <w:t>de processus cognitifs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297607">
        <w:rPr>
          <w:rFonts w:asciiTheme="majorBidi" w:hAnsiTheme="majorBidi" w:cstheme="majorBidi"/>
          <w:color w:val="000000"/>
          <w:sz w:val="22"/>
          <w:szCs w:val="22"/>
        </w:rPr>
        <w:t xml:space="preserve">opérant selon des échelles psychosociologiques différentes (Doise, 1982). Enfin, </w:t>
      </w:r>
      <w:r w:rsidR="00CB5786" w:rsidRPr="004A738B">
        <w:rPr>
          <w:rFonts w:asciiTheme="majorBidi" w:hAnsiTheme="majorBidi" w:cstheme="majorBidi"/>
          <w:color w:val="000000"/>
          <w:sz w:val="22"/>
          <w:szCs w:val="22"/>
        </w:rPr>
        <w:t>le décalage entre la temporalité de l'évènement et les pratiques quotidiennes</w:t>
      </w:r>
      <w:r w:rsidR="00297607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9214CD">
        <w:rPr>
          <w:rFonts w:asciiTheme="majorBidi" w:hAnsiTheme="majorBidi" w:cstheme="majorBidi"/>
          <w:color w:val="000000"/>
          <w:sz w:val="22"/>
          <w:szCs w:val="22"/>
        </w:rPr>
        <w:t>minorent la prise en compte des mesures de protection tant du côté des gestionnaires de territoire</w:t>
      </w:r>
      <w:r w:rsidR="004355F6">
        <w:rPr>
          <w:rFonts w:asciiTheme="majorBidi" w:hAnsiTheme="majorBidi" w:cstheme="majorBidi"/>
          <w:color w:val="000000"/>
          <w:sz w:val="22"/>
          <w:szCs w:val="22"/>
        </w:rPr>
        <w:t>s</w:t>
      </w:r>
      <w:r w:rsidR="009214CD">
        <w:rPr>
          <w:rFonts w:asciiTheme="majorBidi" w:hAnsiTheme="majorBidi" w:cstheme="majorBidi"/>
          <w:color w:val="000000"/>
          <w:sz w:val="22"/>
          <w:szCs w:val="22"/>
        </w:rPr>
        <w:t xml:space="preserve"> que du côté des populations. </w:t>
      </w:r>
      <w:r w:rsidR="008B4A7D">
        <w:rPr>
          <w:rFonts w:asciiTheme="majorBidi" w:hAnsiTheme="majorBidi" w:cstheme="majorBidi"/>
          <w:color w:val="000000"/>
          <w:sz w:val="22"/>
          <w:szCs w:val="22"/>
        </w:rPr>
        <w:t xml:space="preserve">Or en France, </w:t>
      </w:r>
      <w:r w:rsidR="008B4A7D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le principe fédérateur de l'intérêt général porté par l'État-Providence a globalement guidé les actions mises en œuvre pour protéger les populations. Mais ces dernières années s'opère un glissement des responsabilités auparavant entièrement dévolues à l'État, du national au local jusqu'à l'échelon individuel. Moins le risque apparaît comme maîtrisable, plus l'État cherche à en partager les responsabilités avec les collectivités et les </w:t>
      </w:r>
      <w:r w:rsidR="004355F6">
        <w:rPr>
          <w:rFonts w:asciiTheme="majorBidi" w:hAnsiTheme="majorBidi" w:cstheme="majorBidi"/>
          <w:color w:val="000000"/>
          <w:sz w:val="22"/>
          <w:szCs w:val="22"/>
        </w:rPr>
        <w:t>individus</w:t>
      </w:r>
      <w:r w:rsidR="008B4A7D" w:rsidRPr="004A738B">
        <w:rPr>
          <w:rFonts w:asciiTheme="majorBidi" w:hAnsiTheme="majorBidi" w:cstheme="majorBidi"/>
          <w:color w:val="000000"/>
          <w:sz w:val="22"/>
          <w:szCs w:val="22"/>
        </w:rPr>
        <w:t xml:space="preserve"> en tant que co-gestionnaires.</w:t>
      </w:r>
      <w:r w:rsidR="008B4A7D">
        <w:rPr>
          <w:rFonts w:asciiTheme="majorBidi" w:hAnsiTheme="majorBidi" w:cstheme="majorBidi"/>
          <w:color w:val="000000"/>
          <w:sz w:val="22"/>
          <w:szCs w:val="22"/>
        </w:rPr>
        <w:t xml:space="preserve"> La compétence GEMAPI</w:t>
      </w:r>
      <w:r w:rsidR="007F57FA">
        <w:rPr>
          <w:rStyle w:val="Appeldenotedefin"/>
          <w:rFonts w:asciiTheme="majorBidi" w:hAnsiTheme="majorBidi" w:cstheme="majorBidi"/>
          <w:color w:val="000000"/>
          <w:sz w:val="22"/>
          <w:szCs w:val="22"/>
        </w:rPr>
        <w:endnoteReference w:id="3"/>
      </w:r>
      <w:r w:rsidR="006B4513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3E6A85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DD4C29">
        <w:rPr>
          <w:rFonts w:asciiTheme="majorBidi" w:eastAsia="Helvetica" w:hAnsiTheme="majorBidi" w:cstheme="majorBidi"/>
          <w:sz w:val="22"/>
          <w:szCs w:val="22"/>
        </w:rPr>
        <w:t>attribuant</w:t>
      </w:r>
      <w:r w:rsidR="001044EB" w:rsidRPr="004A738B">
        <w:rPr>
          <w:rFonts w:asciiTheme="majorBidi" w:eastAsia="Helvetica" w:hAnsiTheme="majorBidi" w:cstheme="majorBidi"/>
          <w:sz w:val="22"/>
          <w:szCs w:val="22"/>
        </w:rPr>
        <w:t xml:space="preserve"> aux communes une compétence obligatoire relative à la gestion des milieux aquatiques et à la prévention des inondations, renvoie la gestion des digues et des ouvrages hydrauliques aux communautés de communes et pose de fait question quant aux moyens financiers et humains attribués.</w:t>
      </w:r>
      <w:r w:rsidR="00AE5044">
        <w:rPr>
          <w:rFonts w:asciiTheme="majorBidi" w:eastAsia="Helvetica" w:hAnsiTheme="majorBidi" w:cstheme="majorBidi"/>
          <w:sz w:val="22"/>
          <w:szCs w:val="22"/>
        </w:rPr>
        <w:t xml:space="preserve"> Un travail de terrain sur 4 communes pilotes dans le Gard et le Vaucluse</w:t>
      </w:r>
      <w:r w:rsidR="00403125">
        <w:rPr>
          <w:rFonts w:asciiTheme="majorBidi" w:eastAsia="Helvetica" w:hAnsiTheme="majorBidi" w:cstheme="majorBidi"/>
          <w:sz w:val="22"/>
          <w:szCs w:val="22"/>
        </w:rPr>
        <w:t xml:space="preserve"> a permis de confronter une gestion des risques « </w:t>
      </w:r>
      <w:r w:rsidR="00403125">
        <w:rPr>
          <w:rFonts w:asciiTheme="majorBidi" w:eastAsia="Helvetica" w:hAnsiTheme="majorBidi" w:cstheme="majorBidi"/>
          <w:i/>
          <w:iCs/>
          <w:sz w:val="22"/>
          <w:szCs w:val="22"/>
        </w:rPr>
        <w:t>bottom-up</w:t>
      </w:r>
      <w:r w:rsidR="00403125">
        <w:rPr>
          <w:rFonts w:asciiTheme="majorBidi" w:eastAsia="Helvetica" w:hAnsiTheme="majorBidi" w:cstheme="majorBidi"/>
          <w:sz w:val="22"/>
          <w:szCs w:val="22"/>
        </w:rPr>
        <w:t> » à la réception à l’échelle individuelle en identifiant les leviers d’action « </w:t>
      </w:r>
      <w:r w:rsidR="00403125">
        <w:rPr>
          <w:rFonts w:asciiTheme="majorBidi" w:eastAsia="Helvetica" w:hAnsiTheme="majorBidi" w:cstheme="majorBidi"/>
          <w:i/>
          <w:iCs/>
          <w:sz w:val="22"/>
          <w:szCs w:val="22"/>
        </w:rPr>
        <w:t>top-down</w:t>
      </w:r>
      <w:r w:rsidR="00403125">
        <w:rPr>
          <w:rFonts w:asciiTheme="majorBidi" w:eastAsia="Helvetica" w:hAnsiTheme="majorBidi" w:cstheme="majorBidi"/>
          <w:sz w:val="22"/>
          <w:szCs w:val="22"/>
        </w:rPr>
        <w:t> » permettant une réappropriation par les habitants de leurs capacités d’acteurs du territoire (Levy et Lussault, 2013)</w:t>
      </w:r>
      <w:r w:rsidR="00E26F7A">
        <w:rPr>
          <w:rFonts w:asciiTheme="majorBidi" w:eastAsia="Helvetica" w:hAnsiTheme="majorBidi" w:cstheme="majorBidi"/>
          <w:sz w:val="22"/>
          <w:szCs w:val="22"/>
        </w:rPr>
        <w:t xml:space="preserve">. Parmi </w:t>
      </w:r>
      <w:r w:rsidR="009237FF">
        <w:rPr>
          <w:rFonts w:asciiTheme="majorBidi" w:eastAsia="Helvetica" w:hAnsiTheme="majorBidi" w:cstheme="majorBidi"/>
          <w:sz w:val="22"/>
          <w:szCs w:val="22"/>
        </w:rPr>
        <w:t xml:space="preserve">ces changements de paradigme, l’usage </w:t>
      </w:r>
      <w:r w:rsidR="00E26F7A">
        <w:rPr>
          <w:rFonts w:asciiTheme="majorBidi" w:eastAsia="Helvetica" w:hAnsiTheme="majorBidi" w:cstheme="majorBidi"/>
          <w:sz w:val="22"/>
          <w:szCs w:val="22"/>
        </w:rPr>
        <w:t>des smartphones et des réseaux sociaux comme outils d’aide à l’alerte i</w:t>
      </w:r>
      <w:r w:rsidR="007F57FA">
        <w:rPr>
          <w:rFonts w:asciiTheme="majorBidi" w:eastAsia="Helvetica" w:hAnsiTheme="majorBidi" w:cstheme="majorBidi"/>
          <w:sz w:val="22"/>
          <w:szCs w:val="22"/>
        </w:rPr>
        <w:t>nondation a été discuté lors du séminaire</w:t>
      </w:r>
      <w:r w:rsidR="00E26F7A">
        <w:rPr>
          <w:rFonts w:asciiTheme="majorBidi" w:eastAsia="Helvetica" w:hAnsiTheme="majorBidi" w:cstheme="majorBidi"/>
          <w:sz w:val="22"/>
          <w:szCs w:val="22"/>
        </w:rPr>
        <w:t xml:space="preserve"> SMARS</w:t>
      </w:r>
      <w:r w:rsidR="009237FF">
        <w:rPr>
          <w:rFonts w:asciiTheme="majorBidi" w:eastAsia="Helvetica" w:hAnsiTheme="majorBidi" w:cstheme="majorBidi"/>
          <w:sz w:val="22"/>
          <w:szCs w:val="22"/>
        </w:rPr>
        <w:t xml:space="preserve"> 2015</w:t>
      </w:r>
      <w:r w:rsidR="007F57FA">
        <w:rPr>
          <w:rStyle w:val="Appeldenotedefin"/>
          <w:rFonts w:asciiTheme="majorBidi" w:eastAsia="Helvetica" w:hAnsiTheme="majorBidi" w:cstheme="majorBidi"/>
          <w:sz w:val="22"/>
          <w:szCs w:val="22"/>
        </w:rPr>
        <w:endnoteReference w:id="4"/>
      </w:r>
      <w:r w:rsidR="009237FF">
        <w:rPr>
          <w:rFonts w:asciiTheme="majorBidi" w:eastAsia="Helvetica" w:hAnsiTheme="majorBidi" w:cstheme="majorBidi"/>
          <w:sz w:val="22"/>
          <w:szCs w:val="22"/>
        </w:rPr>
        <w:t xml:space="preserve"> soutenu par la FR Agor@ntic. Le renversement des rapports entre institutionnels et populations et leur potentiel de développement en font des outils particulièrement intéressants bien qu’il ne faille pas sous-estimer </w:t>
      </w:r>
      <w:r w:rsidR="00D83444">
        <w:rPr>
          <w:rFonts w:asciiTheme="majorBidi" w:eastAsia="Helvetica" w:hAnsiTheme="majorBidi" w:cstheme="majorBidi"/>
          <w:sz w:val="22"/>
          <w:szCs w:val="22"/>
        </w:rPr>
        <w:t>les points de vulnérabilité constitués par les réseaux eux-mêmes et la non généralisation à l’ensemble des personnes concernées par le risque.</w:t>
      </w:r>
      <w:r w:rsidR="009237FF">
        <w:rPr>
          <w:rFonts w:asciiTheme="majorBidi" w:eastAsia="Helvetica" w:hAnsiTheme="majorBidi" w:cstheme="majorBidi"/>
          <w:sz w:val="22"/>
          <w:szCs w:val="22"/>
        </w:rPr>
        <w:t xml:space="preserve"> </w:t>
      </w:r>
      <w:r w:rsidR="00D83444">
        <w:rPr>
          <w:rFonts w:asciiTheme="majorBidi" w:eastAsia="Helvetica" w:hAnsiTheme="majorBidi" w:cstheme="majorBidi"/>
          <w:sz w:val="22"/>
          <w:szCs w:val="22"/>
        </w:rPr>
        <w:t xml:space="preserve">Une autre approche a constitué en l’organisation d’un atelier « les veilleurs de crues » dans la commune de Sauve (Gard) </w:t>
      </w:r>
      <w:r w:rsidR="00972D2C">
        <w:rPr>
          <w:rFonts w:asciiTheme="majorBidi" w:eastAsia="Helvetica" w:hAnsiTheme="majorBidi" w:cstheme="majorBidi"/>
          <w:sz w:val="22"/>
          <w:szCs w:val="22"/>
        </w:rPr>
        <w:t>basé</w:t>
      </w:r>
      <w:r w:rsidR="007F57FA">
        <w:rPr>
          <w:rFonts w:asciiTheme="majorBidi" w:eastAsia="Helvetica" w:hAnsiTheme="majorBidi" w:cstheme="majorBidi"/>
          <w:sz w:val="22"/>
          <w:szCs w:val="22"/>
        </w:rPr>
        <w:t xml:space="preserve"> sur</w:t>
      </w:r>
      <w:r w:rsidR="00D83444">
        <w:rPr>
          <w:rFonts w:asciiTheme="majorBidi" w:eastAsia="Helvetica" w:hAnsiTheme="majorBidi" w:cstheme="majorBidi"/>
          <w:sz w:val="22"/>
          <w:szCs w:val="22"/>
        </w:rPr>
        <w:t xml:space="preserve"> des méthodologies </w:t>
      </w:r>
      <w:r w:rsidR="007F57FA">
        <w:rPr>
          <w:rFonts w:asciiTheme="majorBidi" w:eastAsia="Helvetica" w:hAnsiTheme="majorBidi" w:cstheme="majorBidi"/>
          <w:sz w:val="22"/>
          <w:szCs w:val="22"/>
        </w:rPr>
        <w:t>issues du</w:t>
      </w:r>
      <w:r w:rsidR="00D83444">
        <w:rPr>
          <w:rFonts w:asciiTheme="majorBidi" w:eastAsia="Helvetica" w:hAnsiTheme="majorBidi" w:cstheme="majorBidi"/>
          <w:sz w:val="22"/>
          <w:szCs w:val="22"/>
        </w:rPr>
        <w:t xml:space="preserve"> design social, permettant </w:t>
      </w:r>
      <w:r w:rsidR="007F57F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la valorisation de compétences d’habitants </w:t>
      </w:r>
      <w:r w:rsidR="00EA5EB1">
        <w:rPr>
          <w:rFonts w:asciiTheme="majorBidi" w:eastAsia="Helvetica" w:hAnsiTheme="majorBidi" w:cstheme="majorBidi"/>
          <w:color w:val="000000"/>
          <w:sz w:val="22"/>
          <w:szCs w:val="22"/>
        </w:rPr>
        <w:t>dans le contexte de crues rapides</w:t>
      </w:r>
      <w:r w:rsidR="007F57FA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. </w:t>
      </w:r>
      <w:r w:rsidR="000E38F7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Les résultats attendus de cette recherche </w:t>
      </w:r>
      <w:r w:rsidR="00FB302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seront l’identification des éléments transposables en actions publiques </w:t>
      </w:r>
      <w:r w:rsidR="00CD68ED">
        <w:rPr>
          <w:rFonts w:asciiTheme="majorBidi" w:eastAsia="Helvetica" w:hAnsiTheme="majorBidi" w:cstheme="majorBidi"/>
          <w:color w:val="000000"/>
          <w:sz w:val="22"/>
          <w:szCs w:val="22"/>
        </w:rPr>
        <w:t>à l’échelon</w:t>
      </w:r>
      <w:r w:rsidR="00FB302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</w:t>
      </w:r>
      <w:r w:rsidR="00CD68ED">
        <w:rPr>
          <w:rFonts w:asciiTheme="majorBidi" w:eastAsia="Helvetica" w:hAnsiTheme="majorBidi" w:cstheme="majorBidi"/>
          <w:color w:val="000000"/>
          <w:sz w:val="22"/>
          <w:szCs w:val="22"/>
        </w:rPr>
        <w:t>communal</w:t>
      </w:r>
      <w:r w:rsidR="00FB302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, afin d’intégrer de manière effective les individus dans la gestion du risque inondation. </w:t>
      </w:r>
      <w:r w:rsidR="00CD68ED">
        <w:rPr>
          <w:rFonts w:asciiTheme="majorBidi" w:eastAsia="Helvetica" w:hAnsiTheme="majorBidi" w:cstheme="majorBidi"/>
          <w:color w:val="000000"/>
          <w:sz w:val="22"/>
          <w:szCs w:val="22"/>
        </w:rPr>
        <w:t>Nous arguons que le changement de perspective de l’eau envisagée comme « menace » à l’eau « constitutive du territoire » permettra une meilleure prise en compte des responsabilités individuelles et collectives face à l’a</w:t>
      </w:r>
      <w:r w:rsidR="00015770">
        <w:rPr>
          <w:rFonts w:asciiTheme="majorBidi" w:eastAsia="Helvetica" w:hAnsiTheme="majorBidi" w:cstheme="majorBidi"/>
          <w:color w:val="000000"/>
          <w:sz w:val="22"/>
          <w:szCs w:val="22"/>
        </w:rPr>
        <w:t>ccroissement des enjeux menacés.</w:t>
      </w:r>
      <w:r w:rsidR="00FB3020">
        <w:rPr>
          <w:rFonts w:asciiTheme="majorBidi" w:eastAsia="Helvetica" w:hAnsiTheme="majorBidi" w:cstheme="majorBidi"/>
          <w:color w:val="000000"/>
          <w:sz w:val="22"/>
          <w:szCs w:val="22"/>
        </w:rPr>
        <w:t xml:space="preserve"> </w:t>
      </w:r>
    </w:p>
    <w:p w14:paraId="40F91D3F" w14:textId="77777777" w:rsidR="004355F6" w:rsidRDefault="004355F6" w:rsidP="00D83444">
      <w:pPr>
        <w:pStyle w:val="NormaleWeb1"/>
        <w:spacing w:before="0" w:after="0"/>
        <w:jc w:val="both"/>
        <w:rPr>
          <w:rFonts w:asciiTheme="majorBidi" w:eastAsia="Helvetica" w:hAnsiTheme="majorBidi" w:cstheme="majorBidi"/>
          <w:sz w:val="22"/>
          <w:szCs w:val="22"/>
        </w:rPr>
      </w:pPr>
    </w:p>
    <w:p w14:paraId="54E8AF6F" w14:textId="77777777" w:rsidR="00A73640" w:rsidRPr="00A73640" w:rsidRDefault="00A73640" w:rsidP="00A73640">
      <w:pPr>
        <w:rPr>
          <w:rFonts w:asciiTheme="majorBidi" w:eastAsia="Times New Roman" w:hAnsiTheme="majorBidi" w:cstheme="majorBidi"/>
          <w:sz w:val="22"/>
          <w:szCs w:val="22"/>
        </w:rPr>
      </w:pPr>
    </w:p>
    <w:p w14:paraId="6420AF0F" w14:textId="77777777" w:rsidR="00A73640" w:rsidRPr="00A73640" w:rsidRDefault="00A73640" w:rsidP="00A73640">
      <w:pPr>
        <w:pStyle w:val="Paragraphedeliste"/>
        <w:rPr>
          <w:rFonts w:asciiTheme="majorBidi" w:eastAsia="Times New Roman" w:hAnsiTheme="majorBidi" w:cstheme="majorBidi"/>
          <w:sz w:val="22"/>
          <w:szCs w:val="22"/>
        </w:rPr>
      </w:pPr>
    </w:p>
    <w:p w14:paraId="54149836" w14:textId="6C894FD0" w:rsidR="00A73640" w:rsidRDefault="00B2397C" w:rsidP="00A73640">
      <w:pPr>
        <w:pStyle w:val="Paragraphedeliste"/>
        <w:widowControl w:val="0"/>
        <w:numPr>
          <w:ilvl w:val="0"/>
          <w:numId w:val="2"/>
        </w:numPr>
        <w:suppressAutoHyphens/>
        <w:rPr>
          <w:rFonts w:asciiTheme="majorBidi" w:eastAsia="Times New Roman" w:hAnsiTheme="majorBidi" w:cstheme="majorBidi"/>
          <w:sz w:val="22"/>
          <w:szCs w:val="22"/>
          <w:lang w:val="en-US"/>
        </w:rPr>
      </w:pPr>
      <w:r w:rsidRPr="00A73640">
        <w:rPr>
          <w:rFonts w:asciiTheme="majorBidi" w:eastAsia="Times New Roman" w:hAnsiTheme="majorBidi" w:cstheme="majorBidi"/>
          <w:sz w:val="22"/>
          <w:szCs w:val="22"/>
        </w:rPr>
        <w:t>Centre européen de prévention du risque inondation CEPRI, (2013, août</w:t>
      </w:r>
      <w:r w:rsidRPr="00A73640">
        <w:rPr>
          <w:rFonts w:asciiTheme="majorBidi" w:eastAsia="Times New Roman" w:hAnsiTheme="majorBidi" w:cstheme="majorBidi"/>
          <w:i/>
          <w:iCs/>
          <w:sz w:val="22"/>
          <w:szCs w:val="22"/>
        </w:rPr>
        <w:t xml:space="preserve">). </w:t>
      </w:r>
      <w:r w:rsidRPr="00A73640">
        <w:rPr>
          <w:rFonts w:asciiTheme="majorBidi" w:eastAsia="Times New Roman" w:hAnsiTheme="majorBidi" w:cstheme="majorBidi"/>
          <w:i/>
          <w:iCs/>
          <w:sz w:val="22"/>
          <w:szCs w:val="22"/>
          <w:lang w:val="en-US"/>
        </w:rPr>
        <w:t xml:space="preserve">La prise en compte du risque d'inondation dans les Schémas de Cohérence Territoriale ScoT. </w:t>
      </w:r>
      <w:r w:rsidRPr="00A73640">
        <w:rPr>
          <w:rFonts w:asciiTheme="majorBidi" w:eastAsia="Times New Roman" w:hAnsiTheme="majorBidi" w:cstheme="majorBidi"/>
          <w:sz w:val="22"/>
          <w:szCs w:val="22"/>
          <w:lang w:val="en-US"/>
        </w:rPr>
        <w:t>76 p.</w:t>
      </w:r>
    </w:p>
    <w:p w14:paraId="3C6CDD94" w14:textId="77777777" w:rsidR="00A73640" w:rsidRDefault="00A73640" w:rsidP="00A73640">
      <w:pPr>
        <w:pStyle w:val="Paragraphedeliste"/>
        <w:widowControl w:val="0"/>
        <w:suppressAutoHyphens/>
        <w:rPr>
          <w:rFonts w:asciiTheme="majorBidi" w:eastAsia="Times New Roman" w:hAnsiTheme="majorBidi" w:cstheme="majorBidi"/>
          <w:sz w:val="22"/>
          <w:szCs w:val="22"/>
          <w:lang w:val="en-US"/>
        </w:rPr>
      </w:pPr>
    </w:p>
    <w:p w14:paraId="7C63D8F0" w14:textId="2A7743B2" w:rsidR="00A73640" w:rsidRPr="00A73640" w:rsidRDefault="00A73640" w:rsidP="00A73640">
      <w:pPr>
        <w:pStyle w:val="Paragraphedeliste"/>
        <w:numPr>
          <w:ilvl w:val="0"/>
          <w:numId w:val="2"/>
        </w:numPr>
        <w:rPr>
          <w:rFonts w:asciiTheme="majorBidi" w:eastAsia="Times New Roman" w:hAnsiTheme="majorBidi" w:cstheme="majorBidi"/>
          <w:sz w:val="22"/>
          <w:szCs w:val="22"/>
        </w:rPr>
      </w:pPr>
      <w:r w:rsidRPr="00A73640">
        <w:rPr>
          <w:rFonts w:asciiTheme="majorBidi" w:eastAsia="Times New Roman" w:hAnsiTheme="majorBidi" w:cstheme="majorBidi"/>
          <w:sz w:val="22"/>
          <w:szCs w:val="22"/>
        </w:rPr>
        <w:t>D</w:t>
      </w:r>
      <w:r>
        <w:rPr>
          <w:rFonts w:asciiTheme="majorBidi" w:eastAsia="Times New Roman" w:hAnsiTheme="majorBidi" w:cstheme="majorBidi"/>
          <w:sz w:val="22"/>
          <w:szCs w:val="22"/>
        </w:rPr>
        <w:t>oise,</w:t>
      </w:r>
      <w:r w:rsidRPr="00A73640">
        <w:rPr>
          <w:rFonts w:asciiTheme="majorBidi" w:eastAsia="Times New Roman" w:hAnsiTheme="majorBidi" w:cstheme="majorBidi"/>
          <w:sz w:val="22"/>
          <w:szCs w:val="22"/>
        </w:rPr>
        <w:t xml:space="preserve"> W. (1982). </w:t>
      </w:r>
      <w:r w:rsidRPr="00A73640">
        <w:rPr>
          <w:rFonts w:asciiTheme="majorBidi" w:eastAsia="Times New Roman" w:hAnsiTheme="majorBidi" w:cstheme="majorBidi"/>
          <w:i/>
          <w:iCs/>
          <w:sz w:val="22"/>
          <w:szCs w:val="22"/>
        </w:rPr>
        <w:t>L'explication en psychologie sociale</w:t>
      </w:r>
      <w:r w:rsidRPr="00A73640">
        <w:rPr>
          <w:rFonts w:asciiTheme="majorBidi" w:eastAsia="Times New Roman" w:hAnsiTheme="majorBidi" w:cstheme="majorBidi"/>
          <w:sz w:val="22"/>
          <w:szCs w:val="22"/>
        </w:rPr>
        <w:t xml:space="preserve">. Paris, France : Presses Universitaires de France. </w:t>
      </w:r>
    </w:p>
    <w:p w14:paraId="1BB0677E" w14:textId="77777777" w:rsidR="00A73640" w:rsidRPr="00A73640" w:rsidRDefault="00A73640" w:rsidP="00A73640">
      <w:pPr>
        <w:pStyle w:val="Paragraphedeliste"/>
        <w:widowControl w:val="0"/>
        <w:suppressAutoHyphens/>
        <w:rPr>
          <w:rFonts w:asciiTheme="majorBidi" w:eastAsia="Times New Roman" w:hAnsiTheme="majorBidi" w:cstheme="majorBidi"/>
          <w:sz w:val="22"/>
          <w:szCs w:val="22"/>
        </w:rPr>
      </w:pPr>
    </w:p>
    <w:p w14:paraId="6AC7C836" w14:textId="485F0251" w:rsidR="00A73640" w:rsidRPr="00A73640" w:rsidRDefault="00A73640" w:rsidP="00A73640">
      <w:pPr>
        <w:pStyle w:val="Paragraphedeliste"/>
        <w:numPr>
          <w:ilvl w:val="0"/>
          <w:numId w:val="2"/>
        </w:numPr>
        <w:rPr>
          <w:rFonts w:asciiTheme="majorBidi" w:eastAsia="Times New Roman" w:hAnsiTheme="majorBidi" w:cstheme="majorBidi"/>
          <w:sz w:val="22"/>
          <w:szCs w:val="22"/>
        </w:rPr>
      </w:pPr>
      <w:r w:rsidRPr="00A7364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EM-DAT, The International Disaster Database CRED/UNISDR (2015). </w:t>
      </w:r>
      <w:r w:rsidRPr="00A73640">
        <w:rPr>
          <w:rFonts w:asciiTheme="majorBidi" w:eastAsia="Times New Roman" w:hAnsiTheme="majorBidi" w:cstheme="majorBidi"/>
          <w:i/>
          <w:iCs/>
          <w:sz w:val="22"/>
          <w:szCs w:val="22"/>
          <w:lang w:val="en-US"/>
        </w:rPr>
        <w:t>The human cost of natural disasters, a global perspective</w:t>
      </w:r>
      <w:r w:rsidRPr="00A7364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r w:rsidRPr="00A73640">
        <w:rPr>
          <w:rFonts w:asciiTheme="majorBidi" w:eastAsia="Times New Roman" w:hAnsiTheme="majorBidi" w:cstheme="majorBidi"/>
          <w:sz w:val="22"/>
          <w:szCs w:val="22"/>
        </w:rPr>
        <w:t xml:space="preserve">Récupéré le 26 octobre 2016 du site du CRED : </w:t>
      </w:r>
      <w:hyperlink r:id="rId8" w:history="1">
        <w:r w:rsidRPr="00A73640">
          <w:rPr>
            <w:rFonts w:asciiTheme="majorBidi" w:eastAsia="Times New Roman" w:hAnsiTheme="majorBidi" w:cstheme="majorBidi"/>
            <w:sz w:val="22"/>
            <w:szCs w:val="22"/>
          </w:rPr>
          <w:t>http://www.emdat.be/publications</w:t>
        </w:r>
      </w:hyperlink>
    </w:p>
    <w:p w14:paraId="31ADD22A" w14:textId="77777777" w:rsidR="00A73640" w:rsidRPr="00A73640" w:rsidRDefault="00A73640" w:rsidP="00A73640">
      <w:pPr>
        <w:pStyle w:val="Paragraphedeliste"/>
        <w:widowControl w:val="0"/>
        <w:suppressAutoHyphens/>
        <w:rPr>
          <w:rFonts w:asciiTheme="majorBidi" w:eastAsia="Times New Roman" w:hAnsiTheme="majorBidi" w:cstheme="majorBidi"/>
          <w:sz w:val="22"/>
          <w:szCs w:val="22"/>
        </w:rPr>
      </w:pPr>
    </w:p>
    <w:p w14:paraId="3AA23D43" w14:textId="77777777" w:rsidR="00B2397C" w:rsidRDefault="00B2397C" w:rsidP="00A73640">
      <w:pPr>
        <w:pStyle w:val="NormaleWeb1"/>
        <w:numPr>
          <w:ilvl w:val="0"/>
          <w:numId w:val="2"/>
        </w:numPr>
        <w:spacing w:before="0" w:after="0"/>
        <w:jc w:val="both"/>
        <w:rPr>
          <w:rFonts w:asciiTheme="majorBidi" w:hAnsiTheme="majorBidi" w:cstheme="majorBidi"/>
          <w:sz w:val="22"/>
          <w:szCs w:val="22"/>
        </w:rPr>
      </w:pPr>
      <w:r w:rsidRPr="00A73640">
        <w:rPr>
          <w:rFonts w:asciiTheme="majorBidi" w:hAnsiTheme="majorBidi" w:cstheme="majorBidi"/>
          <w:sz w:val="22"/>
          <w:szCs w:val="22"/>
        </w:rPr>
        <w:t xml:space="preserve">Lévy, J. &amp; Lussault, M. (dir.) (2013). </w:t>
      </w:r>
      <w:r w:rsidRPr="00A73640">
        <w:rPr>
          <w:rFonts w:asciiTheme="majorBidi" w:hAnsiTheme="majorBidi" w:cstheme="majorBidi"/>
          <w:i/>
          <w:iCs/>
          <w:sz w:val="22"/>
          <w:szCs w:val="22"/>
        </w:rPr>
        <w:t>Dictionnaire de la géographie, de l'espace et des sociétés.</w:t>
      </w:r>
      <w:r w:rsidRPr="00A73640">
        <w:rPr>
          <w:rFonts w:asciiTheme="majorBidi" w:hAnsiTheme="majorBidi" w:cstheme="majorBidi"/>
          <w:sz w:val="22"/>
          <w:szCs w:val="22"/>
        </w:rPr>
        <w:t xml:space="preserve"> Paris, France : Belin. </w:t>
      </w:r>
    </w:p>
    <w:p w14:paraId="387A5AF9" w14:textId="77777777" w:rsidR="00A73640" w:rsidRDefault="00A73640" w:rsidP="00A73640">
      <w:pPr>
        <w:pStyle w:val="NormaleWeb1"/>
        <w:spacing w:before="0" w:after="0"/>
        <w:jc w:val="both"/>
        <w:rPr>
          <w:rFonts w:asciiTheme="majorBidi" w:hAnsiTheme="majorBidi" w:cstheme="majorBidi"/>
          <w:sz w:val="22"/>
          <w:szCs w:val="22"/>
        </w:rPr>
      </w:pPr>
    </w:p>
    <w:p w14:paraId="4900D687" w14:textId="77777777" w:rsidR="00A73640" w:rsidRDefault="00A73640" w:rsidP="00A73640">
      <w:pPr>
        <w:pStyle w:val="Paragraphedeliste"/>
        <w:numPr>
          <w:ilvl w:val="0"/>
          <w:numId w:val="2"/>
        </w:numPr>
        <w:rPr>
          <w:rFonts w:asciiTheme="majorBidi" w:eastAsia="Times New Roman" w:hAnsiTheme="majorBidi" w:cstheme="majorBidi"/>
          <w:sz w:val="22"/>
          <w:szCs w:val="22"/>
        </w:rPr>
      </w:pPr>
      <w:r w:rsidRPr="00A7364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Strauss, A., &amp; Corbin, J. (1994). Grounded Theory Methodology: An Overview. In N. Denzin &amp; Y. Lincoln (Eds.), </w:t>
      </w:r>
      <w:r w:rsidRPr="00A73640">
        <w:rPr>
          <w:rFonts w:asciiTheme="majorBidi" w:eastAsia="Times New Roman" w:hAnsiTheme="majorBidi" w:cstheme="majorBidi"/>
          <w:i/>
          <w:iCs/>
          <w:sz w:val="22"/>
          <w:szCs w:val="22"/>
          <w:lang w:val="en-US"/>
        </w:rPr>
        <w:t>The Handbook of Qualitative Research</w:t>
      </w:r>
      <w:r w:rsidRPr="00A73640">
        <w:rPr>
          <w:rFonts w:asciiTheme="majorBidi" w:eastAsia="Times New Roman" w:hAnsiTheme="majorBidi" w:cstheme="majorBidi"/>
          <w:sz w:val="22"/>
          <w:szCs w:val="22"/>
          <w:lang w:val="en-US"/>
        </w:rPr>
        <w:t xml:space="preserve">. </w:t>
      </w:r>
      <w:r w:rsidRPr="00A73640">
        <w:rPr>
          <w:rFonts w:asciiTheme="majorBidi" w:eastAsia="Times New Roman" w:hAnsiTheme="majorBidi" w:cstheme="majorBidi"/>
          <w:sz w:val="22"/>
          <w:szCs w:val="22"/>
        </w:rPr>
        <w:t>Thousand Oaks, CA: Sage.</w:t>
      </w:r>
    </w:p>
    <w:p w14:paraId="1C670D6A" w14:textId="77777777" w:rsidR="00A73640" w:rsidRDefault="00A73640" w:rsidP="00A73640">
      <w:pPr>
        <w:pStyle w:val="NormaleWeb1"/>
        <w:spacing w:before="0" w:after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491B8561" w14:textId="77777777" w:rsidR="00A73640" w:rsidRDefault="00A73640" w:rsidP="00A73640">
      <w:pPr>
        <w:pStyle w:val="NormaleWeb1"/>
        <w:spacing w:before="0" w:after="0"/>
        <w:jc w:val="both"/>
        <w:rPr>
          <w:rFonts w:asciiTheme="majorBidi" w:hAnsiTheme="majorBidi" w:cstheme="majorBidi"/>
          <w:sz w:val="22"/>
          <w:szCs w:val="22"/>
        </w:rPr>
      </w:pPr>
    </w:p>
    <w:p w14:paraId="74645B9D" w14:textId="77777777" w:rsidR="00A73640" w:rsidRPr="00A73640" w:rsidRDefault="00A73640" w:rsidP="00A73640">
      <w:pPr>
        <w:pStyle w:val="NormaleWeb1"/>
        <w:spacing w:before="0" w:after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2EF01D23" w14:textId="77777777" w:rsidR="00B2397C" w:rsidRPr="004355F6" w:rsidRDefault="00B2397C" w:rsidP="004355F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FE3C87D" w14:textId="77777777" w:rsidR="004355F6" w:rsidRPr="009237FF" w:rsidRDefault="004355F6" w:rsidP="00D83444">
      <w:pPr>
        <w:pStyle w:val="NormaleWeb1"/>
        <w:spacing w:before="0" w:after="0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sectPr w:rsidR="004355F6" w:rsidRPr="009237FF" w:rsidSect="00253D79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013A5" w14:textId="77777777" w:rsidR="00A148C4" w:rsidRDefault="00A148C4" w:rsidP="00F07CB8">
      <w:r>
        <w:separator/>
      </w:r>
    </w:p>
  </w:endnote>
  <w:endnote w:type="continuationSeparator" w:id="0">
    <w:p w14:paraId="2BA81D6C" w14:textId="77777777" w:rsidR="00A148C4" w:rsidRDefault="00A148C4" w:rsidP="00F07CB8">
      <w:r>
        <w:continuationSeparator/>
      </w:r>
    </w:p>
  </w:endnote>
  <w:endnote w:id="1">
    <w:p w14:paraId="4AAE3AAF" w14:textId="153D799A" w:rsidR="007F57FA" w:rsidRDefault="007F57FA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C817E3">
        <w:rPr>
          <w:rFonts w:asciiTheme="majorBidi" w:hAnsiTheme="majorBidi" w:cstheme="majorBidi"/>
          <w:sz w:val="18"/>
          <w:szCs w:val="18"/>
        </w:rPr>
        <w:t>L’usage du masculin dans le texte a pour but d’alléger la forme littéraire et ne saurait avoir d’autre signification.</w:t>
      </w:r>
    </w:p>
  </w:endnote>
  <w:endnote w:id="2">
    <w:p w14:paraId="230923A2" w14:textId="3FBA392D" w:rsidR="007F57FA" w:rsidRDefault="007F57FA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C817E3">
        <w:rPr>
          <w:rFonts w:asciiTheme="majorBidi" w:hAnsiTheme="majorBidi" w:cstheme="majorBidi"/>
          <w:color w:val="000000"/>
          <w:sz w:val="18"/>
          <w:szCs w:val="18"/>
        </w:rPr>
        <w:t xml:space="preserve">Article 4 de la loi 2004-811 du 13 août 2004, relative à la Modernisation de la Sécurité </w:t>
      </w:r>
      <w:r w:rsidRPr="00C834E8">
        <w:rPr>
          <w:rFonts w:asciiTheme="majorBidi" w:hAnsiTheme="majorBidi" w:cstheme="majorBidi"/>
          <w:color w:val="000000"/>
          <w:sz w:val="18"/>
          <w:szCs w:val="18"/>
        </w:rPr>
        <w:t xml:space="preserve">Civile </w:t>
      </w:r>
      <w:r w:rsidRPr="00C834E8">
        <w:rPr>
          <w:rFonts w:asciiTheme="majorBidi" w:hAnsiTheme="majorBidi" w:cstheme="majorBidi"/>
          <w:i/>
          <w:color w:val="000000"/>
          <w:sz w:val="18"/>
          <w:szCs w:val="18"/>
        </w:rPr>
        <w:t>« </w:t>
      </w:r>
      <w:r w:rsidRPr="00C834E8">
        <w:rPr>
          <w:rFonts w:asciiTheme="majorBidi" w:hAnsiTheme="majorBidi" w:cstheme="majorBidi"/>
          <w:color w:val="000000"/>
          <w:sz w:val="18"/>
          <w:szCs w:val="18"/>
        </w:rPr>
        <w:t>toute personne concourt par son comportement à la sécurité civile</w:t>
      </w:r>
      <w:r w:rsidRPr="00C834E8">
        <w:rPr>
          <w:rFonts w:asciiTheme="majorBidi" w:hAnsiTheme="majorBidi" w:cstheme="majorBidi"/>
          <w:i/>
          <w:color w:val="000000"/>
          <w:sz w:val="18"/>
          <w:szCs w:val="18"/>
        </w:rPr>
        <w:t> »</w:t>
      </w:r>
      <w:r>
        <w:rPr>
          <w:rFonts w:asciiTheme="majorBidi" w:hAnsiTheme="majorBidi" w:cstheme="majorBidi"/>
          <w:i/>
          <w:color w:val="000000"/>
          <w:sz w:val="18"/>
          <w:szCs w:val="18"/>
        </w:rPr>
        <w:t>.</w:t>
      </w:r>
    </w:p>
  </w:endnote>
  <w:endnote w:id="3">
    <w:p w14:paraId="30759224" w14:textId="7BFA6D0E" w:rsidR="007F57FA" w:rsidRDefault="007F57FA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rPr>
          <w:rFonts w:asciiTheme="majorBidi" w:eastAsia="Times New Roman" w:hAnsiTheme="majorBidi" w:cstheme="majorBidi"/>
          <w:sz w:val="18"/>
          <w:szCs w:val="18"/>
        </w:rPr>
        <w:t>G</w:t>
      </w:r>
      <w:r w:rsidRPr="003E6A85">
        <w:rPr>
          <w:rFonts w:asciiTheme="majorBidi" w:eastAsia="Times New Roman" w:hAnsiTheme="majorBidi" w:cstheme="majorBidi"/>
          <w:sz w:val="18"/>
          <w:szCs w:val="18"/>
        </w:rPr>
        <w:t>estion des milieux aquatiques et de prévention des inondations (GEMAPI) http://circulaires.legifrance.gouv.fr/pdf/2015/10/cir_40157.pdf</w:t>
      </w:r>
    </w:p>
  </w:endnote>
  <w:endnote w:id="4">
    <w:p w14:paraId="0545424F" w14:textId="0162F70C" w:rsidR="007F57FA" w:rsidRDefault="007F57FA">
      <w:pPr>
        <w:pStyle w:val="Notedefin"/>
      </w:pPr>
      <w:r>
        <w:rPr>
          <w:rStyle w:val="Appeldenotedefin"/>
        </w:rPr>
        <w:endnoteRef/>
      </w:r>
      <w:r>
        <w:t xml:space="preserve"> </w:t>
      </w:r>
      <w:hyperlink r:id="rId1" w:history="1">
        <w:r w:rsidRPr="00A73640">
          <w:rPr>
            <w:rStyle w:val="Lienhypertexte"/>
            <w:rFonts w:asciiTheme="majorBidi" w:hAnsiTheme="majorBidi" w:cstheme="majorBidi"/>
            <w:color w:val="auto"/>
            <w:sz w:val="18"/>
            <w:szCs w:val="18"/>
            <w:u w:val="none"/>
          </w:rPr>
          <w:t>http://www.geo.univ-avignon.fr/Sem_SMARS2015.htm</w:t>
        </w:r>
      </w:hyperlink>
      <w:r w:rsidRPr="00A73640">
        <w:rPr>
          <w:rStyle w:val="Lienhypertexte"/>
          <w:rFonts w:asciiTheme="majorBidi" w:hAnsiTheme="majorBidi" w:cstheme="majorBidi"/>
          <w:color w:val="auto"/>
          <w:sz w:val="18"/>
          <w:szCs w:val="18"/>
          <w:u w:val="none"/>
        </w:rPr>
        <w:t>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E038E" w14:textId="77777777" w:rsidR="00A148C4" w:rsidRDefault="00A148C4" w:rsidP="00F07CB8">
      <w:r>
        <w:separator/>
      </w:r>
    </w:p>
  </w:footnote>
  <w:footnote w:type="continuationSeparator" w:id="0">
    <w:p w14:paraId="794A0715" w14:textId="77777777" w:rsidR="00A148C4" w:rsidRDefault="00A148C4" w:rsidP="00F0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6B2127FD"/>
    <w:multiLevelType w:val="hybridMultilevel"/>
    <w:tmpl w:val="C218C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0C"/>
    <w:rsid w:val="00015770"/>
    <w:rsid w:val="000E38F7"/>
    <w:rsid w:val="001044EB"/>
    <w:rsid w:val="00157086"/>
    <w:rsid w:val="00253D79"/>
    <w:rsid w:val="002959AD"/>
    <w:rsid w:val="00297607"/>
    <w:rsid w:val="002B09E4"/>
    <w:rsid w:val="002D6A5C"/>
    <w:rsid w:val="00314F3D"/>
    <w:rsid w:val="003E6A85"/>
    <w:rsid w:val="00403125"/>
    <w:rsid w:val="004355F6"/>
    <w:rsid w:val="004701E0"/>
    <w:rsid w:val="004F2AC3"/>
    <w:rsid w:val="004F73A3"/>
    <w:rsid w:val="00551BB3"/>
    <w:rsid w:val="006248CF"/>
    <w:rsid w:val="006B4513"/>
    <w:rsid w:val="00783EB6"/>
    <w:rsid w:val="007B0205"/>
    <w:rsid w:val="007F57FA"/>
    <w:rsid w:val="008B4A7D"/>
    <w:rsid w:val="009214CD"/>
    <w:rsid w:val="009237FF"/>
    <w:rsid w:val="00972D2C"/>
    <w:rsid w:val="009A1090"/>
    <w:rsid w:val="00A148C4"/>
    <w:rsid w:val="00A73640"/>
    <w:rsid w:val="00AE5044"/>
    <w:rsid w:val="00AF2ACC"/>
    <w:rsid w:val="00B2397C"/>
    <w:rsid w:val="00B464A2"/>
    <w:rsid w:val="00BE473E"/>
    <w:rsid w:val="00C46B39"/>
    <w:rsid w:val="00C52232"/>
    <w:rsid w:val="00C70A46"/>
    <w:rsid w:val="00C834E8"/>
    <w:rsid w:val="00CB5786"/>
    <w:rsid w:val="00CD68ED"/>
    <w:rsid w:val="00CF4D8F"/>
    <w:rsid w:val="00D61742"/>
    <w:rsid w:val="00D73ECA"/>
    <w:rsid w:val="00D83444"/>
    <w:rsid w:val="00DB2C3E"/>
    <w:rsid w:val="00DD4C29"/>
    <w:rsid w:val="00E26F7A"/>
    <w:rsid w:val="00EA5EB1"/>
    <w:rsid w:val="00F07CB8"/>
    <w:rsid w:val="00F96F0C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309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2">
    <w:name w:val="Citation2"/>
    <w:rsid w:val="00F07CB8"/>
    <w:rPr>
      <w:i/>
      <w:iCs/>
    </w:rPr>
  </w:style>
  <w:style w:type="character" w:customStyle="1" w:styleId="Caractresdenotedebasdepage">
    <w:name w:val="Caractères de note de bas de page"/>
    <w:rsid w:val="00F07CB8"/>
  </w:style>
  <w:style w:type="character" w:customStyle="1" w:styleId="Rimandonotaapidipagina2">
    <w:name w:val="Rimando nota a piè di pagina2"/>
    <w:rsid w:val="00F07CB8"/>
    <w:rPr>
      <w:vertAlign w:val="superscript"/>
    </w:rPr>
  </w:style>
  <w:style w:type="character" w:styleId="Appelnotedebasdep">
    <w:name w:val="footnote reference"/>
    <w:rsid w:val="00F07CB8"/>
    <w:rPr>
      <w:vertAlign w:val="superscript"/>
    </w:rPr>
  </w:style>
  <w:style w:type="paragraph" w:customStyle="1" w:styleId="NormaleWeb1">
    <w:name w:val="Normale (Web)1"/>
    <w:basedOn w:val="Normal"/>
    <w:rsid w:val="00F07CB8"/>
    <w:pPr>
      <w:widowControl w:val="0"/>
      <w:suppressAutoHyphens/>
      <w:spacing w:before="100" w:after="119"/>
    </w:pPr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F07CB8"/>
    <w:pPr>
      <w:widowControl w:val="0"/>
      <w:suppressLineNumbers/>
      <w:suppressAutoHyphens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07CB8"/>
    <w:rPr>
      <w:rFonts w:ascii="Times New Roman" w:eastAsia="Times New Roman" w:hAnsi="Times New Roman"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7F57FA"/>
  </w:style>
  <w:style w:type="character" w:customStyle="1" w:styleId="NotedefinCar">
    <w:name w:val="Note de fin Car"/>
    <w:basedOn w:val="Policepardfaut"/>
    <w:link w:val="Notedefin"/>
    <w:uiPriority w:val="99"/>
    <w:rsid w:val="007F57FA"/>
  </w:style>
  <w:style w:type="character" w:styleId="Appeldenotedefin">
    <w:name w:val="endnote reference"/>
    <w:basedOn w:val="Policepardfaut"/>
    <w:uiPriority w:val="99"/>
    <w:unhideWhenUsed/>
    <w:rsid w:val="007F57F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F57F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73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itation2">
    <w:name w:val="Citation2"/>
    <w:rsid w:val="00F07CB8"/>
    <w:rPr>
      <w:i/>
      <w:iCs/>
    </w:rPr>
  </w:style>
  <w:style w:type="character" w:customStyle="1" w:styleId="Caractresdenotedebasdepage">
    <w:name w:val="Caractères de note de bas de page"/>
    <w:rsid w:val="00F07CB8"/>
  </w:style>
  <w:style w:type="character" w:customStyle="1" w:styleId="Rimandonotaapidipagina2">
    <w:name w:val="Rimando nota a piè di pagina2"/>
    <w:rsid w:val="00F07CB8"/>
    <w:rPr>
      <w:vertAlign w:val="superscript"/>
    </w:rPr>
  </w:style>
  <w:style w:type="character" w:styleId="Appelnotedebasdep">
    <w:name w:val="footnote reference"/>
    <w:rsid w:val="00F07CB8"/>
    <w:rPr>
      <w:vertAlign w:val="superscript"/>
    </w:rPr>
  </w:style>
  <w:style w:type="paragraph" w:customStyle="1" w:styleId="NormaleWeb1">
    <w:name w:val="Normale (Web)1"/>
    <w:basedOn w:val="Normal"/>
    <w:rsid w:val="00F07CB8"/>
    <w:pPr>
      <w:widowControl w:val="0"/>
      <w:suppressAutoHyphens/>
      <w:spacing w:before="100" w:after="119"/>
    </w:pPr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F07CB8"/>
    <w:pPr>
      <w:widowControl w:val="0"/>
      <w:suppressLineNumbers/>
      <w:suppressAutoHyphens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F07CB8"/>
    <w:rPr>
      <w:rFonts w:ascii="Times New Roman" w:eastAsia="Times New Roman" w:hAnsi="Times New Roman"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7F57FA"/>
  </w:style>
  <w:style w:type="character" w:customStyle="1" w:styleId="NotedefinCar">
    <w:name w:val="Note de fin Car"/>
    <w:basedOn w:val="Policepardfaut"/>
    <w:link w:val="Notedefin"/>
    <w:uiPriority w:val="99"/>
    <w:rsid w:val="007F57FA"/>
  </w:style>
  <w:style w:type="character" w:styleId="Appeldenotedefin">
    <w:name w:val="endnote reference"/>
    <w:basedOn w:val="Policepardfaut"/>
    <w:uiPriority w:val="99"/>
    <w:unhideWhenUsed/>
    <w:rsid w:val="007F57F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F57F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73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at.be/publication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o.univ-avignon.fr/Sem_SMARS2015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triquete</cp:lastModifiedBy>
  <cp:revision>2</cp:revision>
  <dcterms:created xsi:type="dcterms:W3CDTF">2017-01-04T08:05:00Z</dcterms:created>
  <dcterms:modified xsi:type="dcterms:W3CDTF">2017-01-04T08:05:00Z</dcterms:modified>
</cp:coreProperties>
</file>